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AE2893" w14:paraId="15BF0869" w14:textId="77777777" w:rsidTr="00AE2893">
        <w:tc>
          <w:tcPr>
            <w:tcW w:w="1581" w:type="dxa"/>
          </w:tcPr>
          <w:p w14:paraId="15BF0867" w14:textId="108BD3C3" w:rsidR="00AE2893" w:rsidRDefault="00AE2893" w:rsidP="00AE2893">
            <w:r>
              <w:t>Last updated:</w:t>
            </w:r>
          </w:p>
        </w:tc>
        <w:tc>
          <w:tcPr>
            <w:tcW w:w="8056" w:type="dxa"/>
          </w:tcPr>
          <w:p w14:paraId="15BF0868" w14:textId="16BE1D72" w:rsidR="00AE2893" w:rsidRDefault="006B1175" w:rsidP="00AE2893">
            <w:r>
              <w:t>6 June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2F7AB91E" w:rsidR="00C17FDD" w:rsidRPr="00C17FDD" w:rsidRDefault="000173A3" w:rsidP="0065560D">
            <w:r>
              <w:t xml:space="preserve">Director of Capital and Strategic Investments </w:t>
            </w:r>
          </w:p>
        </w:tc>
      </w:tr>
      <w:tr w:rsidR="009C1EC5" w14:paraId="4C8A120C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356B3446" w14:textId="2046BC22" w:rsidR="009C1EC5" w:rsidRDefault="009C1EC5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117" w:type="dxa"/>
            <w:gridSpan w:val="3"/>
          </w:tcPr>
          <w:p w14:paraId="6CC13E90" w14:textId="01313709" w:rsidR="009C1EC5" w:rsidRDefault="14EE4132" w:rsidP="73170EC7">
            <w:pPr>
              <w:rPr>
                <w:rFonts w:eastAsia="Lucida Sans" w:cs="Lucida Sans"/>
                <w:szCs w:val="18"/>
              </w:rPr>
            </w:pPr>
            <w:r w:rsidRPr="73170EC7">
              <w:rPr>
                <w:rFonts w:eastAsia="Lucida Sans" w:cs="Lucida Sans"/>
                <w:color w:val="000000" w:themeColor="text1"/>
                <w:szCs w:val="18"/>
              </w:rPr>
              <w:t xml:space="preserve">Please see </w:t>
            </w:r>
            <w:hyperlink r:id="rId11">
              <w:r w:rsidRPr="73170EC7">
                <w:rPr>
                  <w:rStyle w:val="Hyperlink"/>
                  <w:rFonts w:eastAsia="Lucida Sans" w:cs="Lucida Sans"/>
                  <w:szCs w:val="18"/>
                </w:rPr>
                <w:t>Occupation Codes (SharePoint.com)</w:t>
              </w:r>
            </w:hyperlink>
            <w:r w:rsidRPr="73170EC7">
              <w:rPr>
                <w:rFonts w:eastAsia="Lucida Sans" w:cs="Lucida Sans"/>
                <w:color w:val="000000" w:themeColor="text1"/>
                <w:szCs w:val="18"/>
              </w:rPr>
              <w:t xml:space="preserve"> to help identify a SOC code.</w:t>
            </w:r>
          </w:p>
        </w:tc>
      </w:tr>
      <w:tr w:rsidR="0012209D" w14:paraId="15BF0875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15BF0873" w14:textId="018DD42D" w:rsidR="0012209D" w:rsidRDefault="00CD78B9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32D958D8" w:rsidR="0012209D" w:rsidRDefault="009C0310" w:rsidP="00321CAA">
            <w:r>
              <w:t>Finance</w:t>
            </w:r>
          </w:p>
        </w:tc>
      </w:tr>
      <w:tr w:rsidR="00746AEB" w14:paraId="07201851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7" w:type="dxa"/>
            <w:gridSpan w:val="3"/>
          </w:tcPr>
          <w:p w14:paraId="7A897A27" w14:textId="77578A1C" w:rsidR="00746AEB" w:rsidRDefault="009C0310" w:rsidP="00321CAA">
            <w:r>
              <w:t>Professional Services</w:t>
            </w:r>
          </w:p>
        </w:tc>
      </w:tr>
      <w:tr w:rsidR="0012209D" w14:paraId="15BF087A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599B6633" w:rsidR="0012209D" w:rsidRDefault="00E37792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3F99814F" w:rsidR="0012209D" w:rsidRDefault="00573785" w:rsidP="00321CAA">
            <w:r>
              <w:t>7</w:t>
            </w:r>
          </w:p>
        </w:tc>
      </w:tr>
      <w:tr w:rsidR="0012209D" w14:paraId="15BF0881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4ECF4A9F" w:rsidR="0012209D" w:rsidRPr="005508A2" w:rsidRDefault="009C0310" w:rsidP="00321CAA">
            <w:r>
              <w:t>Executive Director of Finance</w:t>
            </w:r>
          </w:p>
        </w:tc>
      </w:tr>
      <w:tr w:rsidR="0012209D" w14:paraId="15BF0884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1DE3714E" w:rsidR="0012209D" w:rsidRPr="005508A2" w:rsidRDefault="009912A0" w:rsidP="00321CAA">
            <w:r>
              <w:t>Head of International, Head of Finance Projects</w:t>
            </w:r>
          </w:p>
        </w:tc>
      </w:tr>
      <w:tr w:rsidR="0012209D" w14:paraId="15BF0887" w14:textId="77777777" w:rsidTr="73170EC7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2E1996CB" w:rsidR="0012209D" w:rsidRPr="005508A2" w:rsidRDefault="00F000EA" w:rsidP="00573785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561F8524" w14:textId="69201236" w:rsidR="00453C47" w:rsidRPr="00696711" w:rsidRDefault="00453C47" w:rsidP="00453C47">
            <w:pPr>
              <w:overflowPunct/>
              <w:autoSpaceDE/>
              <w:autoSpaceDN/>
              <w:adjustRightInd/>
              <w:spacing w:before="0" w:after="10" w:line="245" w:lineRule="auto"/>
              <w:textAlignment w:val="auto"/>
            </w:pPr>
            <w:r w:rsidRPr="00696711">
              <w:t xml:space="preserve">The Director of Capital and Strategic Investments </w:t>
            </w:r>
            <w:r w:rsidR="00661F3E" w:rsidRPr="00696711">
              <w:t>leads</w:t>
            </w:r>
            <w:r w:rsidRPr="00696711">
              <w:t xml:space="preserve"> the strategic </w:t>
            </w:r>
            <w:r w:rsidR="008127DF">
              <w:t xml:space="preserve">framework for the University’s ambitious </w:t>
            </w:r>
            <w:r w:rsidRPr="00696711">
              <w:t xml:space="preserve">capital </w:t>
            </w:r>
            <w:r w:rsidR="00F800C8" w:rsidRPr="00696711">
              <w:t xml:space="preserve">and revenue </w:t>
            </w:r>
            <w:r w:rsidRPr="00696711">
              <w:t xml:space="preserve">investment programme </w:t>
            </w:r>
            <w:r w:rsidR="00842ACA" w:rsidRPr="00696711">
              <w:t xml:space="preserve">to </w:t>
            </w:r>
            <w:r w:rsidR="008127DF">
              <w:t>drive sustainable</w:t>
            </w:r>
            <w:r w:rsidR="00842ACA" w:rsidRPr="00696711">
              <w:t xml:space="preserve"> strategic decision making</w:t>
            </w:r>
            <w:r w:rsidR="002F3381">
              <w:t>,</w:t>
            </w:r>
            <w:r w:rsidR="00842ACA" w:rsidRPr="00696711">
              <w:t xml:space="preserve"> </w:t>
            </w:r>
            <w:r w:rsidR="005B6F5D" w:rsidRPr="00696711">
              <w:t>ensuring we optimise the return on our investment</w:t>
            </w:r>
            <w:r w:rsidR="00621110">
              <w:t>s</w:t>
            </w:r>
            <w:r w:rsidR="005B6F5D" w:rsidRPr="00696711">
              <w:t xml:space="preserve"> in cash and non-cash returns.  </w:t>
            </w:r>
            <w:r w:rsidR="00AF557A" w:rsidRPr="00696711">
              <w:t xml:space="preserve">The role will work in a matrix manner across the </w:t>
            </w:r>
            <w:r w:rsidR="00D14ECE" w:rsidRPr="00696711">
              <w:t xml:space="preserve">University Executive and with </w:t>
            </w:r>
            <w:r w:rsidR="00946F73">
              <w:t>D</w:t>
            </w:r>
            <w:r w:rsidR="00D14ECE" w:rsidRPr="00696711">
              <w:t xml:space="preserve">irectors and Deans </w:t>
            </w:r>
            <w:r w:rsidR="003C5CD4">
              <w:t xml:space="preserve">of </w:t>
            </w:r>
            <w:r w:rsidR="00D14ECE" w:rsidRPr="00696711">
              <w:t xml:space="preserve">faculties to understand the demand for investment, and with colleagues </w:t>
            </w:r>
            <w:r w:rsidR="00956995">
              <w:t>across</w:t>
            </w:r>
            <w:r w:rsidR="00D14ECE" w:rsidRPr="00696711">
              <w:t xml:space="preserve"> finance to assess affordability and </w:t>
            </w:r>
            <w:r w:rsidR="00390BE4" w:rsidRPr="00696711">
              <w:t>funding options for the investment and any ongoing commitments.</w:t>
            </w:r>
          </w:p>
          <w:p w14:paraId="05650706" w14:textId="77777777" w:rsidR="00453C47" w:rsidRDefault="00453C47" w:rsidP="00453C47">
            <w:pPr>
              <w:overflowPunct/>
              <w:autoSpaceDE/>
              <w:autoSpaceDN/>
              <w:adjustRightInd/>
              <w:spacing w:before="0" w:after="10" w:line="245" w:lineRule="auto"/>
              <w:textAlignment w:val="auto"/>
            </w:pPr>
          </w:p>
          <w:p w14:paraId="54207EA0" w14:textId="1CBED082" w:rsidR="00CA616F" w:rsidRDefault="00390BE4" w:rsidP="00453C47">
            <w:pPr>
              <w:overflowPunct/>
              <w:autoSpaceDE/>
              <w:autoSpaceDN/>
              <w:adjustRightInd/>
              <w:spacing w:before="0" w:after="10" w:line="245" w:lineRule="auto"/>
              <w:textAlignment w:val="auto"/>
            </w:pPr>
            <w:r w:rsidRPr="00696711">
              <w:t xml:space="preserve">The </w:t>
            </w:r>
            <w:r w:rsidR="0037202C" w:rsidRPr="00696711">
              <w:t xml:space="preserve">role </w:t>
            </w:r>
            <w:r w:rsidR="001C795D">
              <w:t xml:space="preserve">is accountable </w:t>
            </w:r>
            <w:r w:rsidR="00AB1FDC">
              <w:t>for</w:t>
            </w:r>
            <w:r w:rsidR="00453C47" w:rsidRPr="00696711">
              <w:t xml:space="preserve"> </w:t>
            </w:r>
            <w:r w:rsidR="00EF15E6">
              <w:t xml:space="preserve">the financial </w:t>
            </w:r>
            <w:r w:rsidR="00D517CF">
              <w:t xml:space="preserve">assessment and policy </w:t>
            </w:r>
            <w:r w:rsidR="00EF15E6">
              <w:t xml:space="preserve">framework </w:t>
            </w:r>
            <w:r w:rsidR="00453C47" w:rsidRPr="00696711">
              <w:t xml:space="preserve">for </w:t>
            </w:r>
            <w:r w:rsidR="002C3E39">
              <w:t xml:space="preserve">managing </w:t>
            </w:r>
            <w:r w:rsidR="00453C47" w:rsidRPr="00696711">
              <w:t xml:space="preserve">significant </w:t>
            </w:r>
            <w:r w:rsidR="0077725F">
              <w:t>strategi</w:t>
            </w:r>
            <w:r w:rsidR="00846DCE">
              <w:t>c</w:t>
            </w:r>
            <w:r w:rsidR="0077725F">
              <w:t xml:space="preserve"> </w:t>
            </w:r>
            <w:r w:rsidR="0037202C" w:rsidRPr="00696711">
              <w:t xml:space="preserve">investment activity </w:t>
            </w:r>
            <w:r w:rsidR="00206961">
              <w:t>undertaken</w:t>
            </w:r>
            <w:r w:rsidR="00453C47" w:rsidRPr="00696711">
              <w:t xml:space="preserve"> across the University</w:t>
            </w:r>
            <w:r w:rsidR="00517425" w:rsidRPr="00696711">
              <w:t>.</w:t>
            </w:r>
            <w:r w:rsidR="00CA5306">
              <w:t xml:space="preserve"> </w:t>
            </w:r>
            <w:r w:rsidR="00C34616">
              <w:t xml:space="preserve">This will </w:t>
            </w:r>
            <w:r w:rsidR="00846DCE">
              <w:t xml:space="preserve">include </w:t>
            </w:r>
            <w:r w:rsidR="00DB5DD3">
              <w:t>stewardship</w:t>
            </w:r>
            <w:r w:rsidR="00B274A3">
              <w:t xml:space="preserve"> of</w:t>
            </w:r>
            <w:r w:rsidR="005044B6">
              <w:t xml:space="preserve"> governance processes, </w:t>
            </w:r>
            <w:r w:rsidR="00C34616">
              <w:t xml:space="preserve">development of business case templates, </w:t>
            </w:r>
            <w:r w:rsidR="00CA616F">
              <w:t xml:space="preserve">provision of robust options appraisal analysis and </w:t>
            </w:r>
            <w:r w:rsidR="00846DCE">
              <w:t xml:space="preserve">effective </w:t>
            </w:r>
            <w:r w:rsidR="00CA616F" w:rsidRPr="00696711">
              <w:t>assess</w:t>
            </w:r>
            <w:r w:rsidR="00CA616F">
              <w:t xml:space="preserve">ment &amp; </w:t>
            </w:r>
            <w:r w:rsidR="00211030">
              <w:t>monitoring</w:t>
            </w:r>
            <w:r w:rsidR="00CA616F">
              <w:t xml:space="preserve"> of benefits post completion.</w:t>
            </w:r>
          </w:p>
          <w:p w14:paraId="1BB083F7" w14:textId="77777777" w:rsidR="00A34138" w:rsidRDefault="00A34138" w:rsidP="00453C47">
            <w:pPr>
              <w:overflowPunct/>
              <w:autoSpaceDE/>
              <w:autoSpaceDN/>
              <w:adjustRightInd/>
              <w:spacing w:before="0" w:after="10" w:line="245" w:lineRule="auto"/>
              <w:textAlignment w:val="auto"/>
            </w:pPr>
          </w:p>
          <w:p w14:paraId="2693B2BF" w14:textId="2937C10C" w:rsidR="00BE0B21" w:rsidRPr="00696711" w:rsidRDefault="00B274A3" w:rsidP="00BE0B21">
            <w:pPr>
              <w:overflowPunct/>
              <w:autoSpaceDE/>
              <w:autoSpaceDN/>
              <w:adjustRightInd/>
              <w:spacing w:before="0" w:after="10" w:line="245" w:lineRule="auto"/>
              <w:textAlignment w:val="auto"/>
            </w:pPr>
            <w:r>
              <w:t xml:space="preserve">The postholder </w:t>
            </w:r>
            <w:r w:rsidR="008127DF">
              <w:t>will lead development of</w:t>
            </w:r>
            <w:r w:rsidR="00A7263C" w:rsidRPr="00696711">
              <w:t xml:space="preserve"> phased investment portfolio and </w:t>
            </w:r>
            <w:r w:rsidR="00F568B3">
              <w:t xml:space="preserve">project </w:t>
            </w:r>
            <w:r w:rsidR="00A7263C" w:rsidRPr="00696711">
              <w:t xml:space="preserve">pipeline </w:t>
            </w:r>
            <w:r w:rsidR="00AA341C" w:rsidRPr="00696711">
              <w:t>which demonstrate alignment to the University Strategy</w:t>
            </w:r>
            <w:r w:rsidR="00517425" w:rsidRPr="00696711">
              <w:t xml:space="preserve">. </w:t>
            </w:r>
            <w:r w:rsidR="00F568B3">
              <w:t>They will</w:t>
            </w:r>
            <w:r w:rsidR="00AD1BDF">
              <w:t xml:space="preserve"> e</w:t>
            </w:r>
            <w:r w:rsidR="00453C47" w:rsidRPr="00696711">
              <w:t xml:space="preserve">nsure capital expenditure and associated financing is </w:t>
            </w:r>
            <w:r w:rsidR="00AD1BDF">
              <w:t xml:space="preserve">reflected in </w:t>
            </w:r>
            <w:r w:rsidR="00F50D7B">
              <w:t xml:space="preserve">the </w:t>
            </w:r>
            <w:r w:rsidR="00AD1BDF">
              <w:t>University fin</w:t>
            </w:r>
            <w:r w:rsidR="0098406B">
              <w:t>ancial</w:t>
            </w:r>
            <w:r w:rsidR="00AD1BDF">
              <w:t xml:space="preserve"> plans</w:t>
            </w:r>
            <w:r w:rsidR="008851B4">
              <w:t xml:space="preserve"> and treasury management </w:t>
            </w:r>
            <w:r w:rsidR="002107D0">
              <w:t>forecasts and</w:t>
            </w:r>
            <w:r w:rsidR="00F50D7B">
              <w:t xml:space="preserve"> </w:t>
            </w:r>
            <w:r w:rsidR="00256718">
              <w:t>ensure</w:t>
            </w:r>
            <w:r w:rsidR="0098406B">
              <w:t xml:space="preserve"> </w:t>
            </w:r>
            <w:r w:rsidR="00F50D7B">
              <w:t xml:space="preserve">correct </w:t>
            </w:r>
            <w:r w:rsidR="0098406B" w:rsidRPr="00696711">
              <w:t>align</w:t>
            </w:r>
            <w:r w:rsidR="00256718">
              <w:t>ment</w:t>
            </w:r>
            <w:r w:rsidR="0098406B" w:rsidRPr="00696711">
              <w:t xml:space="preserve"> to accounting policies</w:t>
            </w:r>
            <w:r w:rsidR="0098275F">
              <w:t xml:space="preserve">. </w:t>
            </w:r>
            <w:r w:rsidR="0098406B" w:rsidRPr="00696711">
              <w:t xml:space="preserve"> </w:t>
            </w:r>
            <w:r w:rsidR="00BE0B21">
              <w:t xml:space="preserve">The postholder will attend relevant strategic project boards and advise Exec director of Finance and University Executive team on financial risk and mitigation strategies of the programme. </w:t>
            </w:r>
          </w:p>
          <w:p w14:paraId="15BF088B" w14:textId="0B3D1571" w:rsidR="005D3265" w:rsidRPr="005D3265" w:rsidRDefault="005D3265" w:rsidP="00696711">
            <w:pPr>
              <w:overflowPunct/>
              <w:autoSpaceDE/>
              <w:autoSpaceDN/>
              <w:adjustRightInd/>
              <w:spacing w:before="0" w:after="0" w:line="245" w:lineRule="auto"/>
              <w:textAlignment w:val="auto"/>
              <w:rPr>
                <w:color w:val="FF0000"/>
              </w:rPr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066675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A07341" w14:paraId="3FAF2A9E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6E7ABD82" w14:textId="77777777" w:rsidR="00A07341" w:rsidRDefault="00A0734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5C515BD" w14:textId="29B06016" w:rsidR="00A07341" w:rsidRDefault="008127DF" w:rsidP="0059035F">
            <w:pPr>
              <w:overflowPunct/>
              <w:autoSpaceDE/>
              <w:autoSpaceDN/>
              <w:adjustRightInd/>
              <w:spacing w:before="0" w:after="1"/>
              <w:textAlignment w:val="auto"/>
            </w:pPr>
            <w:r>
              <w:t>Lead the development of</w:t>
            </w:r>
            <w:r w:rsidRPr="00696711">
              <w:t xml:space="preserve"> phased investment portfolio and </w:t>
            </w:r>
            <w:r>
              <w:t xml:space="preserve">project </w:t>
            </w:r>
            <w:r w:rsidRPr="00696711">
              <w:t xml:space="preserve">pipeline </w:t>
            </w:r>
            <w:r>
              <w:t>through collaborations</w:t>
            </w:r>
            <w:r w:rsidR="00194E9F" w:rsidRPr="00CD7CC6">
              <w:t xml:space="preserve"> with </w:t>
            </w:r>
            <w:r w:rsidR="00C82C42" w:rsidRPr="00CD7CC6">
              <w:t xml:space="preserve">Executive Director of Finance, </w:t>
            </w:r>
            <w:r w:rsidR="00AA317F" w:rsidRPr="00CD7CC6">
              <w:t>Chie</w:t>
            </w:r>
            <w:r w:rsidR="00580DB4" w:rsidRPr="00CD7CC6">
              <w:t>f of staff and Chief Strategy Officer and other key members</w:t>
            </w:r>
            <w:r w:rsidR="003F7D74" w:rsidRPr="00CD7CC6">
              <w:t xml:space="preserve"> of the University Executive Group </w:t>
            </w:r>
            <w:r>
              <w:t xml:space="preserve">including </w:t>
            </w:r>
            <w:r w:rsidR="00194E9F" w:rsidRPr="00CD7CC6">
              <w:t>Director of Estates</w:t>
            </w:r>
            <w:r>
              <w:t>. T</w:t>
            </w:r>
            <w:r w:rsidR="00194E9F" w:rsidRPr="00CD7CC6">
              <w:t xml:space="preserve">o produce strategic modelling in relation to the University’s capital </w:t>
            </w:r>
            <w:r w:rsidR="00FD2468" w:rsidRPr="00CD7CC6">
              <w:t xml:space="preserve">and revenue </w:t>
            </w:r>
            <w:r w:rsidR="00194E9F" w:rsidRPr="00CD7CC6">
              <w:t>investment programme, investment appraisals and options for financing</w:t>
            </w:r>
            <w:r w:rsidR="00FD2468" w:rsidRPr="00CD7CC6">
              <w:t xml:space="preserve"> </w:t>
            </w:r>
            <w:r>
              <w:t>to ensure long term sustainabilit</w:t>
            </w:r>
            <w:r w:rsidR="00B072F8">
              <w:t>y and alignment with University Strategy.</w:t>
            </w:r>
          </w:p>
        </w:tc>
        <w:tc>
          <w:tcPr>
            <w:tcW w:w="1018" w:type="dxa"/>
          </w:tcPr>
          <w:p w14:paraId="24DFFB0F" w14:textId="35F13BB3" w:rsidR="00A07341" w:rsidRDefault="008127DF" w:rsidP="00321CAA">
            <w:r>
              <w:t>20</w:t>
            </w:r>
            <w:r w:rsidR="00C82B61">
              <w:t>%</w:t>
            </w:r>
          </w:p>
        </w:tc>
      </w:tr>
      <w:tr w:rsidR="00066675" w14:paraId="0F26D9EE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2B03D5E9" w14:textId="77777777" w:rsidR="00066675" w:rsidRDefault="0006667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D320F14" w14:textId="7881AA9C" w:rsidR="00066675" w:rsidRDefault="00F968DC" w:rsidP="002F2F14">
            <w:pPr>
              <w:overflowPunct/>
              <w:autoSpaceDE/>
              <w:autoSpaceDN/>
              <w:adjustRightInd/>
              <w:spacing w:before="0" w:after="0" w:line="239" w:lineRule="auto"/>
              <w:textAlignment w:val="auto"/>
            </w:pPr>
            <w:r w:rsidRPr="00CD7CC6">
              <w:t xml:space="preserve">With regard to approved </w:t>
            </w:r>
            <w:r w:rsidR="00B072F8">
              <w:t xml:space="preserve">strategic </w:t>
            </w:r>
            <w:r w:rsidRPr="00CD7CC6">
              <w:t>project</w:t>
            </w:r>
            <w:r w:rsidR="00D3572B" w:rsidRPr="00CD7CC6">
              <w:t>s</w:t>
            </w:r>
            <w:r w:rsidRPr="00CD7CC6">
              <w:t>, m</w:t>
            </w:r>
            <w:r w:rsidR="00194E9F" w:rsidRPr="00CD7CC6">
              <w:t xml:space="preserve">onitor and report </w:t>
            </w:r>
            <w:r w:rsidR="00D3572B" w:rsidRPr="00CD7CC6">
              <w:t xml:space="preserve">financial </w:t>
            </w:r>
            <w:r w:rsidR="00194E9F" w:rsidRPr="00CD7CC6">
              <w:t>progress against projects within the University’s Investment p</w:t>
            </w:r>
            <w:r w:rsidR="003E529C" w:rsidRPr="00CD7CC6">
              <w:t>ortfolio</w:t>
            </w:r>
            <w:r w:rsidR="00EB39B6" w:rsidRPr="00CD7CC6">
              <w:t xml:space="preserve"> across many years including spend to approved budget, contingency drawdown and </w:t>
            </w:r>
            <w:r w:rsidR="00036BE0" w:rsidRPr="00CD7CC6">
              <w:t>utilisation of the costed risk registers.</w:t>
            </w:r>
            <w:r w:rsidR="00C7420E" w:rsidRPr="00CD7CC6">
              <w:t xml:space="preserve">  </w:t>
            </w:r>
            <w:r w:rsidR="00F760DA">
              <w:t xml:space="preserve">Produce reports on benefits </w:t>
            </w:r>
            <w:r w:rsidR="00F42758">
              <w:t>realisation</w:t>
            </w:r>
            <w:r w:rsidR="00F760DA">
              <w:t xml:space="preserve"> </w:t>
            </w:r>
            <w:r w:rsidR="00F42758">
              <w:t>against original business case</w:t>
            </w:r>
            <w:r w:rsidR="00A2339E">
              <w:t xml:space="preserve"> and recommend course correction where appropriate</w:t>
            </w:r>
            <w:r w:rsidR="00F42758">
              <w:t xml:space="preserve">. </w:t>
            </w:r>
            <w:r w:rsidR="00C7420E" w:rsidRPr="00CD7CC6">
              <w:t>Financial reports will be made available to project boards and SRO’s</w:t>
            </w:r>
          </w:p>
        </w:tc>
        <w:tc>
          <w:tcPr>
            <w:tcW w:w="1018" w:type="dxa"/>
          </w:tcPr>
          <w:p w14:paraId="14795E64" w14:textId="09308640" w:rsidR="00066675" w:rsidRDefault="008127DF" w:rsidP="00321CAA">
            <w:r>
              <w:t>20</w:t>
            </w:r>
            <w:r w:rsidR="00C82B61">
              <w:t>%</w:t>
            </w:r>
          </w:p>
        </w:tc>
      </w:tr>
      <w:tr w:rsidR="0012209D" w14:paraId="15BF0898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7C7A1682" w:rsidR="00066675" w:rsidRDefault="00B072F8" w:rsidP="0059035F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Responsible for provision of</w:t>
            </w:r>
            <w:r w:rsidR="00194E9F" w:rsidRPr="00CD7CC6">
              <w:t xml:space="preserve"> </w:t>
            </w:r>
            <w:r w:rsidR="00BD0251" w:rsidRPr="00CD7CC6">
              <w:t xml:space="preserve">a </w:t>
            </w:r>
            <w:r>
              <w:t>status reporting for</w:t>
            </w:r>
            <w:r w:rsidR="00194E9F" w:rsidRPr="00CD7CC6">
              <w:t xml:space="preserve"> major capital projects </w:t>
            </w:r>
            <w:r w:rsidR="00BD0251" w:rsidRPr="00CD7CC6">
              <w:t>within the investment portfoli</w:t>
            </w:r>
            <w:r w:rsidR="005D2686" w:rsidRPr="00CD7CC6">
              <w:t xml:space="preserve">o.  This will include </w:t>
            </w:r>
            <w:r w:rsidRPr="00CD7CC6">
              <w:t>multiyear</w:t>
            </w:r>
            <w:r w:rsidR="005D2686" w:rsidRPr="00CD7CC6">
              <w:t xml:space="preserve"> </w:t>
            </w:r>
            <w:r w:rsidR="0040611D">
              <w:t xml:space="preserve">planning and </w:t>
            </w:r>
            <w:r w:rsidR="005D2686" w:rsidRPr="00CD7CC6">
              <w:t xml:space="preserve">reporting </w:t>
            </w:r>
            <w:r w:rsidR="0096016A" w:rsidRPr="00CD7CC6">
              <w:t>and the management of spend from outline business case to full funding allocati</w:t>
            </w:r>
            <w:r w:rsidR="00383188" w:rsidRPr="00CD7CC6">
              <w:t xml:space="preserve">on as well as the articulation of spend risk in profiles </w:t>
            </w:r>
            <w:r w:rsidR="00F45872" w:rsidRPr="00CD7CC6">
              <w:t>and the overall balance of the portfolio against the relevant funding streams.</w:t>
            </w:r>
            <w:r w:rsidR="00194E9F" w:rsidRPr="00CD7CC6">
              <w:t xml:space="preserve"> </w:t>
            </w:r>
          </w:p>
        </w:tc>
        <w:tc>
          <w:tcPr>
            <w:tcW w:w="1018" w:type="dxa"/>
          </w:tcPr>
          <w:p w14:paraId="15BF0897" w14:textId="2FD7B107" w:rsidR="0012209D" w:rsidRDefault="008127DF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9C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330F3919" w:rsidR="00A07341" w:rsidRDefault="008127DF" w:rsidP="0059035F">
            <w:pPr>
              <w:overflowPunct/>
              <w:autoSpaceDE/>
              <w:autoSpaceDN/>
              <w:adjustRightInd/>
              <w:spacing w:before="0" w:after="1" w:line="239" w:lineRule="auto"/>
              <w:textAlignment w:val="auto"/>
            </w:pPr>
            <w:r>
              <w:t>Lead, design and implement a</w:t>
            </w:r>
            <w:r w:rsidR="0059089A" w:rsidRPr="00CD7CC6">
              <w:t xml:space="preserve"> process of budget approvals for </w:t>
            </w:r>
            <w:r w:rsidR="00D14359" w:rsidRPr="00CD7CC6">
              <w:t xml:space="preserve">investment </w:t>
            </w:r>
            <w:r w:rsidR="0059089A" w:rsidRPr="00CD7CC6">
              <w:t xml:space="preserve">projects and ensure that budgets for all projects are issued in line with the approved </w:t>
            </w:r>
            <w:r w:rsidR="00D14359" w:rsidRPr="00CD7CC6">
              <w:t xml:space="preserve">investment </w:t>
            </w:r>
            <w:r w:rsidR="0059089A" w:rsidRPr="00CD7CC6">
              <w:t>programme and delegated authority levels.</w:t>
            </w:r>
            <w:r w:rsidR="005213C3" w:rsidRPr="00CD7CC6">
              <w:t xml:space="preserve">  This includes ensuring the HMT 5 case model is </w:t>
            </w:r>
            <w:r w:rsidR="003919C3" w:rsidRPr="00CD7CC6">
              <w:t xml:space="preserve">followed advising on the completion of the financial and economic case advising on NPV; ROI; IRR; </w:t>
            </w:r>
            <w:r w:rsidR="007248A4" w:rsidRPr="00CD7CC6">
              <w:t>optimism bias and Monte Carlo analysis where appropriate.</w:t>
            </w:r>
            <w:r w:rsidR="0059089A" w:rsidRPr="00CD7CC6">
              <w:t xml:space="preserve"> </w:t>
            </w:r>
          </w:p>
        </w:tc>
        <w:tc>
          <w:tcPr>
            <w:tcW w:w="1018" w:type="dxa"/>
          </w:tcPr>
          <w:p w14:paraId="15BF089B" w14:textId="2FA40252" w:rsidR="0012209D" w:rsidRDefault="008127DF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38F759C1" w:rsidR="0012209D" w:rsidRDefault="008127DF" w:rsidP="0059035F">
            <w:pPr>
              <w:overflowPunct/>
              <w:autoSpaceDE/>
              <w:autoSpaceDN/>
              <w:adjustRightInd/>
              <w:spacing w:before="0" w:after="0" w:line="238" w:lineRule="auto"/>
              <w:textAlignment w:val="auto"/>
            </w:pPr>
            <w:r>
              <w:t xml:space="preserve">Be responsible for ensuring </w:t>
            </w:r>
            <w:r w:rsidR="0059089A" w:rsidRPr="00CD7CC6">
              <w:t>capital funding is appropriately utilised and correctly recorded in the management accounts and financial statement</w:t>
            </w:r>
            <w:r w:rsidR="00323C63" w:rsidRPr="00CD7CC6">
              <w:t>s</w:t>
            </w:r>
            <w:r w:rsidR="00404F53" w:rsidRPr="00CD7CC6">
              <w:t>.</w:t>
            </w:r>
            <w:r w:rsidRPr="00CD7CC6">
              <w:t xml:space="preserve"> Prepare year-end accounts disclosures in relation to Fixed Assets, Loans and Deferred Capital grants and ensure that accounting policies are appropriate and in line with current GAAP and associated requirements (SORP</w:t>
            </w:r>
          </w:p>
        </w:tc>
        <w:tc>
          <w:tcPr>
            <w:tcW w:w="1018" w:type="dxa"/>
          </w:tcPr>
          <w:p w14:paraId="15BF089F" w14:textId="53336AFF" w:rsidR="0012209D" w:rsidRDefault="008127DF" w:rsidP="00321CAA">
            <w:r>
              <w:t>10</w:t>
            </w:r>
            <w:r w:rsidR="00343D93">
              <w:t xml:space="preserve"> %</w:t>
            </w:r>
          </w:p>
        </w:tc>
      </w:tr>
      <w:tr w:rsidR="00066675" w14:paraId="66158F24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6542A16E" w14:textId="77777777" w:rsidR="00066675" w:rsidRDefault="0006667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837EE00" w14:textId="04D167ED" w:rsidR="00066675" w:rsidRDefault="0003687D" w:rsidP="0059035F">
            <w:pPr>
              <w:overflowPunct/>
              <w:autoSpaceDE/>
              <w:autoSpaceDN/>
              <w:adjustRightInd/>
              <w:spacing w:before="0" w:after="1" w:line="239" w:lineRule="auto"/>
              <w:textAlignment w:val="auto"/>
            </w:pPr>
            <w:r>
              <w:t xml:space="preserve">Responsible for provision and </w:t>
            </w:r>
            <w:r w:rsidR="0059089A" w:rsidRPr="00CD7CC6">
              <w:t>analysis of capital and large maintenance cash flows in each financial year</w:t>
            </w:r>
            <w:r w:rsidR="00404F53" w:rsidRPr="00CD7CC6">
              <w:t xml:space="preserve">, </w:t>
            </w:r>
            <w:r>
              <w:t xml:space="preserve">including </w:t>
            </w:r>
            <w:r w:rsidR="0059089A" w:rsidRPr="00CD7CC6">
              <w:t>produc</w:t>
            </w:r>
            <w:r>
              <w:t>tion of</w:t>
            </w:r>
            <w:r w:rsidR="0059089A" w:rsidRPr="00CD7CC6">
              <w:t xml:space="preserve"> forecasts of cashflows in future years to contribute to financial modelling and cash management. </w:t>
            </w:r>
          </w:p>
        </w:tc>
        <w:tc>
          <w:tcPr>
            <w:tcW w:w="1018" w:type="dxa"/>
          </w:tcPr>
          <w:p w14:paraId="24B24534" w14:textId="26D130B9" w:rsidR="00066675" w:rsidRDefault="008127DF" w:rsidP="00304A82">
            <w:pPr>
              <w:spacing w:line="360" w:lineRule="auto"/>
            </w:pPr>
            <w:r>
              <w:t>10%</w:t>
            </w:r>
          </w:p>
        </w:tc>
      </w:tr>
      <w:tr w:rsidR="0012209D" w14:paraId="15BF08A4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4E0F6414" w:rsidR="0012209D" w:rsidRDefault="00F558FB" w:rsidP="0059035F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CD7CC6">
              <w:t>Act as the Finance representative on project steering groups / boards for major capital projects</w:t>
            </w:r>
            <w:r>
              <w:t>.</w:t>
            </w:r>
          </w:p>
        </w:tc>
        <w:tc>
          <w:tcPr>
            <w:tcW w:w="1018" w:type="dxa"/>
          </w:tcPr>
          <w:p w14:paraId="15BF08A3" w14:textId="6181FFBA" w:rsidR="0012209D" w:rsidRDefault="00F558FB" w:rsidP="00321CAA">
            <w:r>
              <w:t>10</w:t>
            </w:r>
            <w:r w:rsidR="00343D93">
              <w:t xml:space="preserve"> %</w:t>
            </w:r>
          </w:p>
        </w:tc>
      </w:tr>
      <w:tr w:rsidR="00EE350A" w14:paraId="567DB108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1E3D80C3" w14:textId="77777777" w:rsidR="00EE350A" w:rsidRDefault="00EE350A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388183EB" w14:textId="0FC695E5" w:rsidR="00EE350A" w:rsidRPr="00671F76" w:rsidRDefault="00F558FB" w:rsidP="001E1084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CD7CC6">
              <w:t>Ensure the correct VAT and accounting treatment is applied to all capital expenditure and associated financing.</w:t>
            </w:r>
          </w:p>
        </w:tc>
        <w:tc>
          <w:tcPr>
            <w:tcW w:w="1018" w:type="dxa"/>
          </w:tcPr>
          <w:p w14:paraId="5BAEA85C" w14:textId="12386E3F" w:rsidR="00EE350A" w:rsidRDefault="00F558FB" w:rsidP="00671F76">
            <w:r>
              <w:t>5</w:t>
            </w:r>
            <w:r w:rsidR="00EE350A">
              <w:t xml:space="preserve"> %</w:t>
            </w:r>
          </w:p>
        </w:tc>
      </w:tr>
      <w:tr w:rsidR="0059089A" w14:paraId="20CFEF47" w14:textId="77777777" w:rsidTr="000666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022E996E" w14:textId="77777777" w:rsidR="0059089A" w:rsidRDefault="0059089A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0C0B719" w14:textId="4E3B9188" w:rsidR="0059089A" w:rsidRPr="00CD7CC6" w:rsidRDefault="00B072F8" w:rsidP="000F5CCB">
            <w:pPr>
              <w:overflowPunct/>
              <w:autoSpaceDE/>
              <w:autoSpaceDN/>
              <w:adjustRightInd/>
              <w:spacing w:before="0" w:after="2" w:line="238" w:lineRule="auto"/>
              <w:textAlignment w:val="auto"/>
            </w:pPr>
            <w:r>
              <w:t>Be responsible for</w:t>
            </w:r>
            <w:r w:rsidR="0059089A" w:rsidRPr="00CD7CC6">
              <w:t xml:space="preserve"> capital accounting related Financial </w:t>
            </w:r>
            <w:r>
              <w:t>policy and p</w:t>
            </w:r>
            <w:r w:rsidR="0059089A" w:rsidRPr="00CD7CC6">
              <w:t xml:space="preserve">rocedure </w:t>
            </w:r>
            <w:r>
              <w:t>documentation</w:t>
            </w:r>
            <w:r w:rsidR="0059089A" w:rsidRPr="00CD7CC6">
              <w:t>, updating and producing new procedures where necessary.</w:t>
            </w:r>
            <w:r w:rsidR="008127DF" w:rsidRPr="00CD7CC6">
              <w:t xml:space="preserve"> Liaise with Internal Audit to ensure that procedures are updated to mitigate areas of risk that are identified.</w:t>
            </w:r>
          </w:p>
        </w:tc>
        <w:tc>
          <w:tcPr>
            <w:tcW w:w="1018" w:type="dxa"/>
          </w:tcPr>
          <w:p w14:paraId="0C3D2563" w14:textId="7FE21445" w:rsidR="0059089A" w:rsidRDefault="008127DF" w:rsidP="00671F76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33E6B43" w14:textId="77777777" w:rsidR="004E3766" w:rsidRDefault="004E3766" w:rsidP="004E3766">
            <w:pPr>
              <w:spacing w:after="241" w:line="239" w:lineRule="auto"/>
            </w:pPr>
            <w:r w:rsidRPr="00CD7CC6">
              <w:t xml:space="preserve">Internal – Finance Department staff, College Heads of Finance and their teams, Estates &amp; campus Facilities, Project Management Office and Purchasing department </w:t>
            </w:r>
          </w:p>
          <w:p w14:paraId="3CA5DC0E" w14:textId="77777777" w:rsidR="004E3766" w:rsidRPr="00CD7CC6" w:rsidRDefault="004E3766" w:rsidP="004E3766">
            <w:r w:rsidRPr="00CD7CC6">
              <w:t>External – Contractors; lawyers; external and internal auditors; funders.</w:t>
            </w:r>
          </w:p>
          <w:p w14:paraId="75FC831A" w14:textId="77777777" w:rsidR="004E3766" w:rsidRDefault="004E3766" w:rsidP="00C31B06"/>
          <w:p w14:paraId="15BF08B0" w14:textId="5819EF41" w:rsidR="00C31B06" w:rsidRDefault="00C31B06" w:rsidP="00C31B06">
            <w:r>
              <w:t>Relevant suppliers and external contacts</w:t>
            </w:r>
            <w:r w:rsidR="00CA4E17">
              <w:t xml:space="preserve"> and advisors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5A7DDD99" w:rsidR="00343D93" w:rsidRDefault="00751232" w:rsidP="00343D93">
            <w:r>
              <w:t>None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2"/>
        <w:gridCol w:w="3343"/>
        <w:gridCol w:w="1318"/>
      </w:tblGrid>
      <w:tr w:rsidR="00CD7CC6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DD62F6F" w14:textId="02C6CF99" w:rsidR="000B18E1" w:rsidRDefault="000B18E1" w:rsidP="00CD7CC6">
            <w:pPr>
              <w:spacing w:after="241" w:line="239" w:lineRule="auto"/>
            </w:pPr>
            <w:r w:rsidRPr="00CD7CC6">
              <w:t xml:space="preserve">Qualified accountant (ACMA, CIPFA, ACCA, ACA) with appropriate post-qualification experience, ideally in a large and complex </w:t>
            </w:r>
            <w:r w:rsidR="003F23FB" w:rsidRPr="00CD7CC6">
              <w:t xml:space="preserve">financial </w:t>
            </w:r>
            <w:r w:rsidRPr="00CD7CC6">
              <w:t xml:space="preserve">project management role. </w:t>
            </w:r>
          </w:p>
          <w:p w14:paraId="5CE689B1" w14:textId="1109C613" w:rsidR="000B18E1" w:rsidRDefault="000B18E1" w:rsidP="00CD7CC6">
            <w:pPr>
              <w:spacing w:after="241" w:line="239" w:lineRule="auto"/>
            </w:pPr>
            <w:r w:rsidRPr="00CD7CC6">
              <w:t>Strategic capability</w:t>
            </w:r>
            <w:r w:rsidR="003F23FB" w:rsidRPr="00CD7CC6">
              <w:t xml:space="preserve"> </w:t>
            </w:r>
            <w:r w:rsidRPr="00CD7CC6">
              <w:t xml:space="preserve">to understand the wider business context and to add value to strategic decisions. </w:t>
            </w:r>
          </w:p>
          <w:p w14:paraId="133D3960" w14:textId="77777777" w:rsidR="000B18E1" w:rsidRDefault="000B18E1" w:rsidP="00CD7CC6">
            <w:pPr>
              <w:spacing w:after="241" w:line="239" w:lineRule="auto"/>
            </w:pPr>
            <w:r w:rsidRPr="00CD7CC6">
              <w:t xml:space="preserve">Strong analytical and decision support skills, with the ability to be able to identify and interpret trends and improve financial forecast data. </w:t>
            </w:r>
          </w:p>
          <w:p w14:paraId="2ECEC4D5" w14:textId="77777777" w:rsidR="000B18E1" w:rsidRDefault="000B18E1" w:rsidP="00CD7CC6">
            <w:pPr>
              <w:spacing w:after="241" w:line="239" w:lineRule="auto"/>
            </w:pPr>
            <w:r w:rsidRPr="00CD7CC6">
              <w:t xml:space="preserve">Good written and oral communication skills, able to communicate complex financial matters to non-finance staff and to build trust-based relationships with senior managers throughout the organisation. Enthusiastic, self-confident approach. </w:t>
            </w:r>
          </w:p>
          <w:p w14:paraId="15BF08BC" w14:textId="4D61F89E" w:rsidR="00EE350A" w:rsidRDefault="000B18E1" w:rsidP="00CD7CC6">
            <w:pPr>
              <w:spacing w:after="241" w:line="239" w:lineRule="auto"/>
            </w:pPr>
            <w:r w:rsidRPr="00CD7CC6">
              <w:t>A good knowledge of the accounting standards for capital and revenue project accounting</w:t>
            </w:r>
          </w:p>
        </w:tc>
        <w:tc>
          <w:tcPr>
            <w:tcW w:w="3402" w:type="dxa"/>
          </w:tcPr>
          <w:p w14:paraId="352A4AF7" w14:textId="77777777" w:rsidR="00646BE7" w:rsidRDefault="00646BE7" w:rsidP="00CD7CC6">
            <w:pPr>
              <w:spacing w:after="241" w:line="239" w:lineRule="auto"/>
            </w:pPr>
            <w:r w:rsidRPr="00CD7CC6">
              <w:t xml:space="preserve">Experience in the HE sector or related sector with a significant regulatory framework. </w:t>
            </w:r>
          </w:p>
          <w:p w14:paraId="328AB72E" w14:textId="46676A53" w:rsidR="00646BE7" w:rsidRDefault="00646BE7" w:rsidP="00CD7CC6">
            <w:pPr>
              <w:spacing w:after="241" w:line="239" w:lineRule="auto"/>
            </w:pPr>
            <w:r w:rsidRPr="00CD7CC6">
              <w:t xml:space="preserve">Familiarity with Unite 4  </w:t>
            </w:r>
          </w:p>
          <w:p w14:paraId="15BF08BD" w14:textId="0EA22433" w:rsidR="004D4966" w:rsidRDefault="00646BE7" w:rsidP="00CD7CC6">
            <w:pPr>
              <w:spacing w:after="241" w:line="239" w:lineRule="auto"/>
              <w:ind w:right="132"/>
              <w:jc w:val="both"/>
            </w:pPr>
            <w:r w:rsidRPr="00CD7CC6">
              <w:t>Knowledge of legal and policy frameworks in which universities operate.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77DFD9E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46B804E9" w:rsidR="00C83F50" w:rsidRDefault="00F000EA" w:rsidP="00702D64">
            <w:pPr>
              <w:spacing w:after="90"/>
            </w:pPr>
            <w:r w:rsidRPr="00F000EA">
              <w:t>Able to champion and oversee the Department’s contribution to the university’s strategy and to lead on the Department’s strategies and plans.</w:t>
            </w:r>
          </w:p>
        </w:tc>
        <w:tc>
          <w:tcPr>
            <w:tcW w:w="3402" w:type="dxa"/>
          </w:tcPr>
          <w:p w14:paraId="15BF08C2" w14:textId="6FC4BC5F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21DBF709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6017FF3B" w14:textId="4B1F8797" w:rsidR="00F000EA" w:rsidRDefault="00F000EA" w:rsidP="00F000EA">
            <w:pPr>
              <w:spacing w:after="90"/>
            </w:pPr>
            <w:r>
              <w:t>Able to make judgements on significant new problems where precedent may not apply.</w:t>
            </w:r>
            <w:r w:rsidR="00CA4E17">
              <w:t xml:space="preserve"> Analytical and results orientated</w:t>
            </w:r>
          </w:p>
          <w:p w14:paraId="64091A2A" w14:textId="77777777" w:rsidR="00F000EA" w:rsidRDefault="00F000EA" w:rsidP="00F000EA">
            <w:pPr>
              <w:spacing w:after="90"/>
            </w:pPr>
          </w:p>
          <w:p w14:paraId="15BF08C6" w14:textId="16C022F0" w:rsidR="004D4966" w:rsidRDefault="00F000EA" w:rsidP="00F000EA">
            <w:pPr>
              <w:spacing w:after="90"/>
            </w:pPr>
            <w:r>
              <w:t>Able to develop innovative solutions and practical implementations for strategic change.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221E4483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8216BE0" w14:textId="77777777" w:rsidR="00F000EA" w:rsidRDefault="00F000EA" w:rsidP="00F000EA">
            <w:pPr>
              <w:spacing w:after="90"/>
            </w:pPr>
            <w:r>
              <w:t>Able to implement successful change management initiatives and formulate strategic plans that reflect and support the priority needs of the university.</w:t>
            </w:r>
          </w:p>
          <w:p w14:paraId="05B4EB48" w14:textId="77777777" w:rsidR="00F000EA" w:rsidRDefault="00F000EA" w:rsidP="00F000EA">
            <w:pPr>
              <w:spacing w:after="90"/>
            </w:pPr>
          </w:p>
          <w:p w14:paraId="15BF08CB" w14:textId="6D6CE5B3" w:rsidR="00C83F50" w:rsidRDefault="00F000EA" w:rsidP="00F000EA">
            <w:pPr>
              <w:spacing w:after="90"/>
            </w:pPr>
            <w:r>
              <w:t>Able to demonstrate leadership and to raise performance standards throughout own work areas.</w:t>
            </w:r>
          </w:p>
        </w:tc>
        <w:tc>
          <w:tcPr>
            <w:tcW w:w="3402" w:type="dxa"/>
          </w:tcPr>
          <w:p w14:paraId="15BF08CC" w14:textId="2CB1C38C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6952AC8B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440423A" w14:textId="77777777" w:rsidR="00F000EA" w:rsidRDefault="00F000EA" w:rsidP="00F000EA">
            <w:pPr>
              <w:spacing w:after="90"/>
            </w:pPr>
            <w:r>
              <w:t>Able to establish and build major relationships with key stakeholders.</w:t>
            </w:r>
          </w:p>
          <w:p w14:paraId="4EA28095" w14:textId="77777777" w:rsidR="00F000EA" w:rsidRDefault="00F000EA" w:rsidP="00F000EA">
            <w:pPr>
              <w:spacing w:after="90"/>
            </w:pPr>
          </w:p>
          <w:p w14:paraId="15BF08D0" w14:textId="0A5088F3" w:rsidR="00C83F50" w:rsidRDefault="00F000EA" w:rsidP="00F000EA">
            <w:pPr>
              <w:spacing w:after="90"/>
            </w:pPr>
            <w:r>
              <w:t>Able to use influence to develop positions or strategies.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0CBF678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A930B12" w14:textId="77777777" w:rsidR="00AE2893" w:rsidRDefault="00AE2893" w:rsidP="00AE2893">
            <w:pPr>
              <w:spacing w:after="90"/>
            </w:pPr>
            <w:r>
              <w:t>Ability to lead and manage change through an organisation</w:t>
            </w:r>
          </w:p>
          <w:p w14:paraId="461C78B9" w14:textId="77777777" w:rsidR="00AE2893" w:rsidRDefault="00AE2893" w:rsidP="00AE2893">
            <w:pPr>
              <w:spacing w:after="90"/>
            </w:pPr>
          </w:p>
          <w:p w14:paraId="15BF08D5" w14:textId="4D501A1D" w:rsidR="00013C10" w:rsidRDefault="00AE2893" w:rsidP="00AE2893">
            <w:pPr>
              <w:spacing w:after="90"/>
            </w:pPr>
            <w:r>
              <w:t>Able to demonstrate alignment with the University’s core values in all areas of work, and champion those behaviours in the Department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1E96B73" w:rsidR="00013C10" w:rsidRDefault="00751232" w:rsidP="00343D93">
            <w:pPr>
              <w:spacing w:after="90"/>
            </w:pPr>
            <w:r>
              <w:t>None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721A230" w:rsidR="00D3349E" w:rsidRDefault="009912A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6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9912A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DDC9" w14:textId="77777777" w:rsidR="00B1167A" w:rsidRDefault="00B1167A">
      <w:r>
        <w:separator/>
      </w:r>
    </w:p>
    <w:p w14:paraId="3D60574A" w14:textId="77777777" w:rsidR="00B1167A" w:rsidRDefault="00B1167A"/>
  </w:endnote>
  <w:endnote w:type="continuationSeparator" w:id="0">
    <w:p w14:paraId="38D5FB57" w14:textId="77777777" w:rsidR="00B1167A" w:rsidRDefault="00B1167A">
      <w:r>
        <w:continuationSeparator/>
      </w:r>
    </w:p>
    <w:p w14:paraId="0417FEE4" w14:textId="77777777" w:rsidR="00B1167A" w:rsidRDefault="00B11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3793D5E" w:rsidR="00062768" w:rsidRDefault="00751232" w:rsidP="00FE47BF">
    <w:pPr>
      <w:pStyle w:val="ContinuationFooter"/>
    </w:pPr>
    <w:fldSimple w:instr=" FILENAME   \* MERGEFORMAT ">
      <w:r w:rsidR="006E107C">
        <w:t>Director of Capital and Investment JD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D78B9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D42E" w14:textId="77777777" w:rsidR="00B1167A" w:rsidRDefault="00B1167A">
      <w:r>
        <w:separator/>
      </w:r>
    </w:p>
    <w:p w14:paraId="7134E889" w14:textId="77777777" w:rsidR="00B1167A" w:rsidRDefault="00B1167A"/>
  </w:footnote>
  <w:footnote w:type="continuationSeparator" w:id="0">
    <w:p w14:paraId="798FDCF6" w14:textId="77777777" w:rsidR="00B1167A" w:rsidRDefault="00B1167A">
      <w:r>
        <w:continuationSeparator/>
      </w:r>
    </w:p>
    <w:p w14:paraId="1F1CBAD0" w14:textId="77777777" w:rsidR="00B1167A" w:rsidRDefault="00B116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8"/>
    </w:tblGrid>
    <w:tr w:rsidR="00062768" w14:paraId="15BF0981" w14:textId="77777777" w:rsidTr="00CD78B9">
      <w:trPr>
        <w:trHeight w:hRule="exact" w:val="83"/>
      </w:trPr>
      <w:tc>
        <w:tcPr>
          <w:tcW w:w="9668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D78B9">
      <w:trPr>
        <w:trHeight w:val="436"/>
      </w:trPr>
      <w:tc>
        <w:tcPr>
          <w:tcW w:w="9668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537BE6B" w:rsidR="0005274A" w:rsidRPr="0005274A" w:rsidRDefault="00F84583" w:rsidP="00CD78B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527C"/>
    <w:multiLevelType w:val="hybridMultilevel"/>
    <w:tmpl w:val="56D45B8C"/>
    <w:lvl w:ilvl="0" w:tplc="5E72D85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2E7EC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B13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54F160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C0A4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26C5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2DDD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AF7E0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AC89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62096"/>
    <w:multiLevelType w:val="hybridMultilevel"/>
    <w:tmpl w:val="0ED2FA74"/>
    <w:lvl w:ilvl="0" w:tplc="7710FE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63D96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C45E6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FC4EF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86B1C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E6530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6DE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CA94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D4A542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364934"/>
    <w:multiLevelType w:val="hybridMultilevel"/>
    <w:tmpl w:val="0512EE70"/>
    <w:lvl w:ilvl="0" w:tplc="EACE5E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E061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45AD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EA92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437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F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E6A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A8F7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0DA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E6166"/>
    <w:multiLevelType w:val="hybridMultilevel"/>
    <w:tmpl w:val="C79C3C7C"/>
    <w:lvl w:ilvl="0" w:tplc="F35E10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048D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F7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2A87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8E4D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561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EA1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838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07F3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424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77353486">
    <w:abstractNumId w:val="21"/>
  </w:num>
  <w:num w:numId="2" w16cid:durableId="234635263">
    <w:abstractNumId w:val="0"/>
  </w:num>
  <w:num w:numId="3" w16cid:durableId="471561456">
    <w:abstractNumId w:val="16"/>
  </w:num>
  <w:num w:numId="4" w16cid:durableId="1793816949">
    <w:abstractNumId w:val="10"/>
  </w:num>
  <w:num w:numId="5" w16cid:durableId="1814323484">
    <w:abstractNumId w:val="11"/>
  </w:num>
  <w:num w:numId="6" w16cid:durableId="1024745220">
    <w:abstractNumId w:val="8"/>
  </w:num>
  <w:num w:numId="7" w16cid:durableId="800463467">
    <w:abstractNumId w:val="4"/>
  </w:num>
  <w:num w:numId="8" w16cid:durableId="930703421">
    <w:abstractNumId w:val="6"/>
  </w:num>
  <w:num w:numId="9" w16cid:durableId="819464204">
    <w:abstractNumId w:val="1"/>
  </w:num>
  <w:num w:numId="10" w16cid:durableId="639267061">
    <w:abstractNumId w:val="9"/>
  </w:num>
  <w:num w:numId="11" w16cid:durableId="1005981812">
    <w:abstractNumId w:val="5"/>
  </w:num>
  <w:num w:numId="12" w16cid:durableId="898983377">
    <w:abstractNumId w:val="17"/>
  </w:num>
  <w:num w:numId="13" w16cid:durableId="192111871">
    <w:abstractNumId w:val="18"/>
  </w:num>
  <w:num w:numId="14" w16cid:durableId="72164603">
    <w:abstractNumId w:val="7"/>
  </w:num>
  <w:num w:numId="15" w16cid:durableId="273561118">
    <w:abstractNumId w:val="2"/>
  </w:num>
  <w:num w:numId="16" w16cid:durableId="112216697">
    <w:abstractNumId w:val="14"/>
  </w:num>
  <w:num w:numId="17" w16cid:durableId="1430808629">
    <w:abstractNumId w:val="15"/>
  </w:num>
  <w:num w:numId="18" w16cid:durableId="208104601">
    <w:abstractNumId w:val="19"/>
  </w:num>
  <w:num w:numId="19" w16cid:durableId="1296368225">
    <w:abstractNumId w:val="12"/>
  </w:num>
  <w:num w:numId="20" w16cid:durableId="1214662401">
    <w:abstractNumId w:val="3"/>
  </w:num>
  <w:num w:numId="21" w16cid:durableId="1393432195">
    <w:abstractNumId w:val="13"/>
  </w:num>
  <w:num w:numId="22" w16cid:durableId="183140816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173A3"/>
    <w:rsid w:val="0003687D"/>
    <w:rsid w:val="00036BE0"/>
    <w:rsid w:val="0005274A"/>
    <w:rsid w:val="00057DE4"/>
    <w:rsid w:val="00062768"/>
    <w:rsid w:val="00063081"/>
    <w:rsid w:val="00066675"/>
    <w:rsid w:val="00071653"/>
    <w:rsid w:val="000824F4"/>
    <w:rsid w:val="00093ED5"/>
    <w:rsid w:val="000978E8"/>
    <w:rsid w:val="000B18E1"/>
    <w:rsid w:val="000B1DED"/>
    <w:rsid w:val="000B4E5A"/>
    <w:rsid w:val="000E4663"/>
    <w:rsid w:val="000F5CCB"/>
    <w:rsid w:val="00102BCB"/>
    <w:rsid w:val="0012209D"/>
    <w:rsid w:val="001532E2"/>
    <w:rsid w:val="00156CBF"/>
    <w:rsid w:val="00156F2F"/>
    <w:rsid w:val="00161C85"/>
    <w:rsid w:val="0018144C"/>
    <w:rsid w:val="001840EA"/>
    <w:rsid w:val="00194E9F"/>
    <w:rsid w:val="001B0263"/>
    <w:rsid w:val="001B339F"/>
    <w:rsid w:val="001B6986"/>
    <w:rsid w:val="001C5C5C"/>
    <w:rsid w:val="001C795D"/>
    <w:rsid w:val="001D0B37"/>
    <w:rsid w:val="001D5201"/>
    <w:rsid w:val="001E1084"/>
    <w:rsid w:val="001E24BE"/>
    <w:rsid w:val="00205458"/>
    <w:rsid w:val="00206961"/>
    <w:rsid w:val="002107D0"/>
    <w:rsid w:val="00211030"/>
    <w:rsid w:val="00236BFE"/>
    <w:rsid w:val="00241441"/>
    <w:rsid w:val="0024539C"/>
    <w:rsid w:val="00254722"/>
    <w:rsid w:val="002547F5"/>
    <w:rsid w:val="00256718"/>
    <w:rsid w:val="00260333"/>
    <w:rsid w:val="00260B1D"/>
    <w:rsid w:val="00266C6A"/>
    <w:rsid w:val="0027093C"/>
    <w:rsid w:val="0028509A"/>
    <w:rsid w:val="00286E16"/>
    <w:rsid w:val="00287575"/>
    <w:rsid w:val="0029789A"/>
    <w:rsid w:val="002A70BE"/>
    <w:rsid w:val="002C3E39"/>
    <w:rsid w:val="002C6198"/>
    <w:rsid w:val="002D0384"/>
    <w:rsid w:val="002D03C2"/>
    <w:rsid w:val="002D4DF4"/>
    <w:rsid w:val="002E7C28"/>
    <w:rsid w:val="002F2F14"/>
    <w:rsid w:val="002F3381"/>
    <w:rsid w:val="00304A82"/>
    <w:rsid w:val="00312C9E"/>
    <w:rsid w:val="00313CC8"/>
    <w:rsid w:val="003178D9"/>
    <w:rsid w:val="003207F7"/>
    <w:rsid w:val="003220DB"/>
    <w:rsid w:val="00323B91"/>
    <w:rsid w:val="00323C63"/>
    <w:rsid w:val="003374F4"/>
    <w:rsid w:val="0034151E"/>
    <w:rsid w:val="00343B25"/>
    <w:rsid w:val="00343D93"/>
    <w:rsid w:val="00355C12"/>
    <w:rsid w:val="00364B2C"/>
    <w:rsid w:val="003701F7"/>
    <w:rsid w:val="0037202C"/>
    <w:rsid w:val="00382BCF"/>
    <w:rsid w:val="00383188"/>
    <w:rsid w:val="00385622"/>
    <w:rsid w:val="00390BE4"/>
    <w:rsid w:val="003919C3"/>
    <w:rsid w:val="003A2001"/>
    <w:rsid w:val="003B0262"/>
    <w:rsid w:val="003B7540"/>
    <w:rsid w:val="003C5CD4"/>
    <w:rsid w:val="003D6D6A"/>
    <w:rsid w:val="003E529C"/>
    <w:rsid w:val="003F23FB"/>
    <w:rsid w:val="003F50FB"/>
    <w:rsid w:val="003F7D74"/>
    <w:rsid w:val="004022C1"/>
    <w:rsid w:val="00402E48"/>
    <w:rsid w:val="00404F53"/>
    <w:rsid w:val="0040611D"/>
    <w:rsid w:val="004263FE"/>
    <w:rsid w:val="00453C47"/>
    <w:rsid w:val="00455C1D"/>
    <w:rsid w:val="00456307"/>
    <w:rsid w:val="00463797"/>
    <w:rsid w:val="00467596"/>
    <w:rsid w:val="00474D00"/>
    <w:rsid w:val="004B2A50"/>
    <w:rsid w:val="004C0252"/>
    <w:rsid w:val="004D4966"/>
    <w:rsid w:val="004E3766"/>
    <w:rsid w:val="004F3FED"/>
    <w:rsid w:val="005044B6"/>
    <w:rsid w:val="00517425"/>
    <w:rsid w:val="0051744C"/>
    <w:rsid w:val="005213C3"/>
    <w:rsid w:val="00524005"/>
    <w:rsid w:val="00525C5B"/>
    <w:rsid w:val="00541CE0"/>
    <w:rsid w:val="005455B4"/>
    <w:rsid w:val="005534E1"/>
    <w:rsid w:val="00573487"/>
    <w:rsid w:val="00573785"/>
    <w:rsid w:val="00580CBF"/>
    <w:rsid w:val="00580DB4"/>
    <w:rsid w:val="0059035F"/>
    <w:rsid w:val="005907B3"/>
    <w:rsid w:val="0059089A"/>
    <w:rsid w:val="005949FA"/>
    <w:rsid w:val="005A3ABC"/>
    <w:rsid w:val="005B3137"/>
    <w:rsid w:val="005B6F5D"/>
    <w:rsid w:val="005D2686"/>
    <w:rsid w:val="005D3265"/>
    <w:rsid w:val="005D44D1"/>
    <w:rsid w:val="00601F61"/>
    <w:rsid w:val="0061289C"/>
    <w:rsid w:val="00617FAD"/>
    <w:rsid w:val="00621110"/>
    <w:rsid w:val="006249FD"/>
    <w:rsid w:val="006457FD"/>
    <w:rsid w:val="00646BE7"/>
    <w:rsid w:val="00651280"/>
    <w:rsid w:val="0065560D"/>
    <w:rsid w:val="00661F3E"/>
    <w:rsid w:val="00671F76"/>
    <w:rsid w:val="00680547"/>
    <w:rsid w:val="00690365"/>
    <w:rsid w:val="00695D76"/>
    <w:rsid w:val="00696711"/>
    <w:rsid w:val="006B1175"/>
    <w:rsid w:val="006B1AF6"/>
    <w:rsid w:val="006E107C"/>
    <w:rsid w:val="006F44EB"/>
    <w:rsid w:val="00702D64"/>
    <w:rsid w:val="0070376B"/>
    <w:rsid w:val="007248A4"/>
    <w:rsid w:val="00746AEB"/>
    <w:rsid w:val="00751232"/>
    <w:rsid w:val="00761108"/>
    <w:rsid w:val="0077725F"/>
    <w:rsid w:val="00791076"/>
    <w:rsid w:val="0079197B"/>
    <w:rsid w:val="00791A2A"/>
    <w:rsid w:val="007A5F08"/>
    <w:rsid w:val="007C22CC"/>
    <w:rsid w:val="007C6FAA"/>
    <w:rsid w:val="007E2B5B"/>
    <w:rsid w:val="007E2D19"/>
    <w:rsid w:val="007F2AEA"/>
    <w:rsid w:val="008127DF"/>
    <w:rsid w:val="00813365"/>
    <w:rsid w:val="00813A2C"/>
    <w:rsid w:val="0082020C"/>
    <w:rsid w:val="0082075E"/>
    <w:rsid w:val="00833773"/>
    <w:rsid w:val="00842ACA"/>
    <w:rsid w:val="008443D8"/>
    <w:rsid w:val="00846DCE"/>
    <w:rsid w:val="00854B1E"/>
    <w:rsid w:val="00856B8A"/>
    <w:rsid w:val="0085701B"/>
    <w:rsid w:val="00876272"/>
    <w:rsid w:val="00883499"/>
    <w:rsid w:val="008851B4"/>
    <w:rsid w:val="00885FD1"/>
    <w:rsid w:val="008961F9"/>
    <w:rsid w:val="008B0A38"/>
    <w:rsid w:val="008C2D0C"/>
    <w:rsid w:val="008D52C9"/>
    <w:rsid w:val="008F03C7"/>
    <w:rsid w:val="009064A9"/>
    <w:rsid w:val="009419A4"/>
    <w:rsid w:val="00945F4B"/>
    <w:rsid w:val="009464AF"/>
    <w:rsid w:val="00946F73"/>
    <w:rsid w:val="00954E47"/>
    <w:rsid w:val="00956995"/>
    <w:rsid w:val="0096016A"/>
    <w:rsid w:val="00965BFB"/>
    <w:rsid w:val="00967DA7"/>
    <w:rsid w:val="00970E28"/>
    <w:rsid w:val="0098120F"/>
    <w:rsid w:val="0098275F"/>
    <w:rsid w:val="0098406B"/>
    <w:rsid w:val="009912A0"/>
    <w:rsid w:val="00996476"/>
    <w:rsid w:val="009C0310"/>
    <w:rsid w:val="009C1191"/>
    <w:rsid w:val="009C1EC5"/>
    <w:rsid w:val="009E361C"/>
    <w:rsid w:val="00A021B7"/>
    <w:rsid w:val="00A07341"/>
    <w:rsid w:val="00A07431"/>
    <w:rsid w:val="00A131D9"/>
    <w:rsid w:val="00A14888"/>
    <w:rsid w:val="00A15E51"/>
    <w:rsid w:val="00A23226"/>
    <w:rsid w:val="00A2339E"/>
    <w:rsid w:val="00A34138"/>
    <w:rsid w:val="00A34296"/>
    <w:rsid w:val="00A521A9"/>
    <w:rsid w:val="00A66F6D"/>
    <w:rsid w:val="00A7244A"/>
    <w:rsid w:val="00A7263C"/>
    <w:rsid w:val="00A75A2E"/>
    <w:rsid w:val="00A925C0"/>
    <w:rsid w:val="00AA317F"/>
    <w:rsid w:val="00AA341C"/>
    <w:rsid w:val="00AA3CB5"/>
    <w:rsid w:val="00AB1FDC"/>
    <w:rsid w:val="00AC2B17"/>
    <w:rsid w:val="00AC71CB"/>
    <w:rsid w:val="00AD10BF"/>
    <w:rsid w:val="00AD1BDF"/>
    <w:rsid w:val="00AE1CA0"/>
    <w:rsid w:val="00AE2893"/>
    <w:rsid w:val="00AE39DC"/>
    <w:rsid w:val="00AE4DC4"/>
    <w:rsid w:val="00AF0C5B"/>
    <w:rsid w:val="00AF557A"/>
    <w:rsid w:val="00B02F38"/>
    <w:rsid w:val="00B072F8"/>
    <w:rsid w:val="00B1167A"/>
    <w:rsid w:val="00B274A3"/>
    <w:rsid w:val="00B32D7A"/>
    <w:rsid w:val="00B430BB"/>
    <w:rsid w:val="00B84C12"/>
    <w:rsid w:val="00B96AD0"/>
    <w:rsid w:val="00BB4A42"/>
    <w:rsid w:val="00BB7845"/>
    <w:rsid w:val="00BD0251"/>
    <w:rsid w:val="00BD710F"/>
    <w:rsid w:val="00BE0B21"/>
    <w:rsid w:val="00BF1CC6"/>
    <w:rsid w:val="00BF243A"/>
    <w:rsid w:val="00C17FDD"/>
    <w:rsid w:val="00C31B06"/>
    <w:rsid w:val="00C34616"/>
    <w:rsid w:val="00C64C4A"/>
    <w:rsid w:val="00C7420E"/>
    <w:rsid w:val="00C82B61"/>
    <w:rsid w:val="00C82C42"/>
    <w:rsid w:val="00C83F50"/>
    <w:rsid w:val="00C907D0"/>
    <w:rsid w:val="00CA4E17"/>
    <w:rsid w:val="00CA5306"/>
    <w:rsid w:val="00CA616F"/>
    <w:rsid w:val="00CA7432"/>
    <w:rsid w:val="00CB1F23"/>
    <w:rsid w:val="00CD04F0"/>
    <w:rsid w:val="00CD159C"/>
    <w:rsid w:val="00CD78B9"/>
    <w:rsid w:val="00CD7CC6"/>
    <w:rsid w:val="00CE3A26"/>
    <w:rsid w:val="00D14359"/>
    <w:rsid w:val="00D14ECE"/>
    <w:rsid w:val="00D16D9D"/>
    <w:rsid w:val="00D3349E"/>
    <w:rsid w:val="00D3572B"/>
    <w:rsid w:val="00D40ED9"/>
    <w:rsid w:val="00D50678"/>
    <w:rsid w:val="00D517CF"/>
    <w:rsid w:val="00D54AA2"/>
    <w:rsid w:val="00D55315"/>
    <w:rsid w:val="00D5587F"/>
    <w:rsid w:val="00D6099D"/>
    <w:rsid w:val="00D65B56"/>
    <w:rsid w:val="00D67D41"/>
    <w:rsid w:val="00D73BB9"/>
    <w:rsid w:val="00D7711D"/>
    <w:rsid w:val="00D84361"/>
    <w:rsid w:val="00DB5DD3"/>
    <w:rsid w:val="00DC1CE3"/>
    <w:rsid w:val="00DC4386"/>
    <w:rsid w:val="00DE553C"/>
    <w:rsid w:val="00E01106"/>
    <w:rsid w:val="00E171AE"/>
    <w:rsid w:val="00E25775"/>
    <w:rsid w:val="00E264FD"/>
    <w:rsid w:val="00E31F1C"/>
    <w:rsid w:val="00E363B8"/>
    <w:rsid w:val="00E37792"/>
    <w:rsid w:val="00E63AC1"/>
    <w:rsid w:val="00E96015"/>
    <w:rsid w:val="00EB26F6"/>
    <w:rsid w:val="00EB39B6"/>
    <w:rsid w:val="00EB589D"/>
    <w:rsid w:val="00EC3B59"/>
    <w:rsid w:val="00ED2E52"/>
    <w:rsid w:val="00EE13FB"/>
    <w:rsid w:val="00EE350A"/>
    <w:rsid w:val="00EF15E6"/>
    <w:rsid w:val="00F000EA"/>
    <w:rsid w:val="00F01EA0"/>
    <w:rsid w:val="00F135E0"/>
    <w:rsid w:val="00F222CE"/>
    <w:rsid w:val="00F26173"/>
    <w:rsid w:val="00F378D2"/>
    <w:rsid w:val="00F42758"/>
    <w:rsid w:val="00F45872"/>
    <w:rsid w:val="00F470C9"/>
    <w:rsid w:val="00F50D7B"/>
    <w:rsid w:val="00F558FB"/>
    <w:rsid w:val="00F568B3"/>
    <w:rsid w:val="00F56FF5"/>
    <w:rsid w:val="00F7188D"/>
    <w:rsid w:val="00F760DA"/>
    <w:rsid w:val="00F800C8"/>
    <w:rsid w:val="00F84583"/>
    <w:rsid w:val="00F85DED"/>
    <w:rsid w:val="00F87FE8"/>
    <w:rsid w:val="00F90F90"/>
    <w:rsid w:val="00F968DC"/>
    <w:rsid w:val="00FB5A25"/>
    <w:rsid w:val="00FB7297"/>
    <w:rsid w:val="00FC2ADA"/>
    <w:rsid w:val="00FD2468"/>
    <w:rsid w:val="00FE47BF"/>
    <w:rsid w:val="00FF140B"/>
    <w:rsid w:val="00FF246F"/>
    <w:rsid w:val="14EE4132"/>
    <w:rsid w:val="731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9C1EC5"/>
  </w:style>
  <w:style w:type="character" w:customStyle="1" w:styleId="eop">
    <w:name w:val="eop"/>
    <w:basedOn w:val="DefaultParagraphFont"/>
    <w:rsid w:val="009C1EC5"/>
  </w:style>
  <w:style w:type="paragraph" w:styleId="Revision">
    <w:name w:val="Revision"/>
    <w:hidden/>
    <w:uiPriority w:val="99"/>
    <w:semiHidden/>
    <w:rsid w:val="00B32D7A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UniversityofSouthampton-VisasandImmigration/SitePages/Occupation-Code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309C7-68EF-493B-A367-F3387539B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02B9E-45C5-40B5-BA3A-E461D1964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Professional Specialist Area</vt:lpstr>
    </vt:vector>
  </TitlesOfParts>
  <Company>Southampton University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Professional Specialist Area</dc:title>
  <dc:creator>Newton-Woof K.</dc:creator>
  <cp:keywords>V0.1</cp:keywords>
  <cp:lastModifiedBy>Charlotte Solway</cp:lastModifiedBy>
  <cp:revision>3</cp:revision>
  <cp:lastPrinted>2024-06-04T10:31:00Z</cp:lastPrinted>
  <dcterms:created xsi:type="dcterms:W3CDTF">2024-06-24T12:47:00Z</dcterms:created>
  <dcterms:modified xsi:type="dcterms:W3CDTF">2024-06-24T12:49:00Z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</Properties>
</file>